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800080"/>
          <w:sz w:val="24"/>
          <w:szCs w:val="24"/>
        </w:rPr>
      </w:pPr>
      <w:r w:rsidDel="00000000" w:rsidR="00000000" w:rsidRPr="00000000">
        <w:rPr>
          <w:b w:val="1"/>
          <w:color w:val="800080"/>
          <w:sz w:val="24"/>
          <w:szCs w:val="24"/>
          <w:rtl w:val="0"/>
        </w:rPr>
        <w:t xml:space="preserve">Family Practitioners – Adolescent Service What do we do?</w:t>
      </w:r>
    </w:p>
    <w:p w:rsidR="00000000" w:rsidDel="00000000" w:rsidP="00000000" w:rsidRDefault="00000000" w:rsidRPr="00000000" w14:paraId="00000002">
      <w:pPr>
        <w:rPr>
          <w:sz w:val="24"/>
          <w:szCs w:val="24"/>
        </w:rPr>
      </w:pPr>
      <w:r w:rsidDel="00000000" w:rsidR="00000000" w:rsidRPr="00000000">
        <w:rPr>
          <w:sz w:val="24"/>
          <w:szCs w:val="24"/>
          <w:rtl w:val="0"/>
        </w:rPr>
        <w:t xml:space="preserve">If you have completed a PSHE session and some brief intervention and still have worries about a young person you can refer into our service for:</w:t>
      </w:r>
    </w:p>
    <w:p w:rsidR="00000000" w:rsidDel="00000000" w:rsidP="00000000" w:rsidRDefault="00000000" w:rsidRPr="00000000" w14:paraId="00000003">
      <w:pPr>
        <w:rPr>
          <w:b w:val="1"/>
          <w:color w:val="800080"/>
        </w:rPr>
      </w:pPr>
      <w:r w:rsidDel="00000000" w:rsidR="00000000" w:rsidRPr="00000000">
        <w:rPr>
          <w:b w:val="1"/>
          <w:color w:val="800080"/>
          <w:rtl w:val="0"/>
        </w:rPr>
        <w:t xml:space="preserve">Targeted 1:1 Substance Misuse Support (SMU)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Psychosocial, non-clinical support, for young people misusing substances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cycle of change,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Harm reduction,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cravings,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Distract and delay,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Distraction techniques,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aspirations and positive activities,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Relapse prevention,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awareness (inc. CCE)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Consequences, effects, health implications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team can facilitate access to clinical support including, prescribing, community and residential detox and rehabilitation. This includes targeted work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800080"/>
          <w:sz w:val="22"/>
          <w:szCs w:val="22"/>
          <w:u w:val="none"/>
          <w:shd w:fill="auto" w:val="clear"/>
          <w:vertAlign w:val="baseline"/>
          <w:rtl w:val="0"/>
        </w:rPr>
        <w:t xml:space="preserve">Targeted 1:1 Sexual Health Support (SH)</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800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ind w:left="360" w:firstLine="0"/>
        <w:rPr>
          <w:rFonts w:ascii="Calibri" w:cs="Calibri" w:eastAsia="Calibri" w:hAnsi="Calibri"/>
        </w:rPr>
      </w:pPr>
      <w:r w:rsidDel="00000000" w:rsidR="00000000" w:rsidRPr="00000000">
        <w:rPr>
          <w:rFonts w:ascii="Calibri" w:cs="Calibri" w:eastAsia="Calibri" w:hAnsi="Calibri"/>
          <w:rtl w:val="0"/>
        </w:rPr>
        <w:t xml:space="preserve">Psychosocial, non-clinical support, for young people at risk of poor sexual health outcomes and in need of support with contraception and or STI screening and healthy sexual relationships. The team can facilitate access to clinical support and complete targeted work around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STI’s and contraception (including clinical support where appropriate)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and the law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Healthy relationships; qualities of a consensual healthy relationship,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 &amp; grooming, ok/not ok behaviours, recognising abuse, delay, power and control, challenging behaviours,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safety. </w:t>
      </w:r>
    </w:p>
    <w:p w:rsidR="00000000" w:rsidDel="00000000" w:rsidP="00000000" w:rsidRDefault="00000000" w:rsidRPr="00000000" w14:paraId="00000018">
      <w:pPr>
        <w:rPr>
          <w:b w:val="1"/>
          <w:color w:val="800080"/>
          <w:sz w:val="28"/>
          <w:szCs w:val="28"/>
        </w:rPr>
      </w:pPr>
      <w:r w:rsidDel="00000000" w:rsidR="00000000" w:rsidRPr="00000000">
        <w:rPr>
          <w:rtl w:val="0"/>
        </w:rPr>
      </w:r>
    </w:p>
    <w:p w:rsidR="00000000" w:rsidDel="00000000" w:rsidP="00000000" w:rsidRDefault="00000000" w:rsidRPr="00000000" w14:paraId="00000019">
      <w:pPr>
        <w:rPr>
          <w:b w:val="1"/>
          <w:color w:val="800080"/>
          <w:sz w:val="24"/>
          <w:szCs w:val="24"/>
        </w:rPr>
      </w:pPr>
      <w:r w:rsidDel="00000000" w:rsidR="00000000" w:rsidRPr="00000000">
        <w:rPr>
          <w:b w:val="1"/>
          <w:color w:val="800080"/>
          <w:sz w:val="24"/>
          <w:szCs w:val="24"/>
          <w:rtl w:val="0"/>
        </w:rPr>
        <w:t xml:space="preserve">Referral pathways </w:t>
      </w:r>
    </w:p>
    <w:p w:rsidR="00000000" w:rsidDel="00000000" w:rsidP="00000000" w:rsidRDefault="00000000" w:rsidRPr="00000000" w14:paraId="0000001A">
      <w:pPr>
        <w:rPr>
          <w:rFonts w:ascii="Calibri" w:cs="Calibri" w:eastAsia="Calibri" w:hAnsi="Calibri"/>
          <w:color w:val="ff0000"/>
          <w:sz w:val="24"/>
          <w:szCs w:val="24"/>
        </w:rPr>
      </w:pPr>
      <w:r w:rsidDel="00000000" w:rsidR="00000000" w:rsidRPr="00000000">
        <w:rPr>
          <w:b w:val="1"/>
          <w:sz w:val="24"/>
          <w:szCs w:val="24"/>
          <w:rtl w:val="0"/>
        </w:rPr>
        <w:t xml:space="preserve">Substance Misuse &amp; Sexual Health Support Referrals (</w:t>
      </w:r>
      <w:r w:rsidDel="00000000" w:rsidR="00000000" w:rsidRPr="00000000">
        <w:rPr>
          <w:b w:val="1"/>
          <w:color w:val="800080"/>
          <w:sz w:val="24"/>
          <w:szCs w:val="24"/>
          <w:rtl w:val="0"/>
        </w:rPr>
        <w:t xml:space="preserve">young person must give consent and be Gillick/Fraser competent)</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please seek parental consent and young person consent and use the following link. </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b w:val="1"/>
          <w:color w:val="000000"/>
          <w:sz w:val="24"/>
          <w:szCs w:val="24"/>
          <w:rtl w:val="0"/>
        </w:rPr>
        <w:t xml:space="preserve">Partner under 18's </w:t>
      </w:r>
      <w:r w:rsidDel="00000000" w:rsidR="00000000" w:rsidRPr="00000000">
        <w:rPr>
          <w:color w:val="000000"/>
          <w:sz w:val="24"/>
          <w:szCs w:val="24"/>
          <w:rtl w:val="0"/>
        </w:rPr>
        <w:t xml:space="preserve">Link to </w:t>
      </w:r>
      <w:r w:rsidDel="00000000" w:rsidR="00000000" w:rsidRPr="00000000">
        <w:rPr>
          <w:color w:val="061c2b"/>
          <w:sz w:val="24"/>
          <w:szCs w:val="24"/>
          <w:rtl w:val="0"/>
        </w:rPr>
        <w:t xml:space="preserve">Blackpool Families Rock Request for Support Hub should be made using the online form </w:t>
      </w:r>
      <w:hyperlink r:id="rId6">
        <w:r w:rsidDel="00000000" w:rsidR="00000000" w:rsidRPr="00000000">
          <w:rPr>
            <w:rFonts w:ascii="Calibri" w:cs="Calibri" w:eastAsia="Calibri" w:hAnsi="Calibri"/>
            <w:color w:val="800080"/>
            <w:sz w:val="24"/>
            <w:szCs w:val="24"/>
            <w:highlight w:val="white"/>
            <w:u w:val="single"/>
            <w:rtl w:val="0"/>
          </w:rPr>
          <w:t xml:space="preserve">www.blackpool.gov.uk/familiesrocksupport</w:t>
        </w:r>
      </w:hyperlink>
      <w:r w:rsidDel="00000000" w:rsidR="00000000" w:rsidRPr="00000000">
        <w:rPr>
          <w:rFonts w:ascii="Calibri" w:cs="Calibri" w:eastAsia="Calibri" w:hAnsi="Calibri"/>
          <w:color w:val="800080"/>
          <w:sz w:val="24"/>
          <w:szCs w:val="24"/>
          <w:highlight w:val="white"/>
          <w:rtl w:val="0"/>
        </w:rPr>
        <w:t xml:space="preserve"> </w:t>
      </w:r>
      <w:r w:rsidDel="00000000" w:rsidR="00000000" w:rsidRPr="00000000">
        <w:rPr>
          <w:rtl w:val="0"/>
        </w:rPr>
      </w:r>
    </w:p>
    <w:p w:rsidR="00000000" w:rsidDel="00000000" w:rsidP="00000000" w:rsidRDefault="00000000" w:rsidRPr="00000000" w14:paraId="0000001C">
      <w:pPr>
        <w:rPr>
          <w:b w:val="1"/>
          <w:color w:val="000000"/>
          <w:sz w:val="24"/>
          <w:szCs w:val="24"/>
        </w:rPr>
      </w:pPr>
      <w:r w:rsidDel="00000000" w:rsidR="00000000" w:rsidRPr="00000000">
        <w:rPr>
          <w:b w:val="1"/>
          <w:sz w:val="24"/>
          <w:szCs w:val="24"/>
          <w:rtl w:val="0"/>
        </w:rPr>
        <w:t xml:space="preserve">However, support can still be accessed without parental consent. If no safeguarding concerns please support the young person to self-refer  </w:t>
      </w:r>
      <w:r w:rsidDel="00000000" w:rsidR="00000000" w:rsidRPr="00000000">
        <w:rPr>
          <w:b w:val="1"/>
          <w:color w:val="800080"/>
          <w:sz w:val="24"/>
          <w:szCs w:val="24"/>
          <w:rtl w:val="0"/>
        </w:rPr>
        <w:t xml:space="preserve"> (do not compete self-referral as professional as this will be declined and delay support for the young person)</w:t>
      </w:r>
      <w:r w:rsidDel="00000000" w:rsidR="00000000" w:rsidRPr="00000000">
        <w:rPr>
          <w:rtl w:val="0"/>
        </w:rPr>
      </w:r>
    </w:p>
    <w:p w:rsidR="00000000" w:rsidDel="00000000" w:rsidP="00000000" w:rsidRDefault="00000000" w:rsidRPr="00000000" w14:paraId="0000001D">
      <w:pPr>
        <w:rPr>
          <w:b w:val="1"/>
          <w:color w:val="000000"/>
          <w:sz w:val="24"/>
          <w:szCs w:val="24"/>
        </w:rPr>
      </w:pPr>
      <w:r w:rsidDel="00000000" w:rsidR="00000000" w:rsidRPr="00000000">
        <w:rPr>
          <w:b w:val="1"/>
          <w:color w:val="000000"/>
          <w:sz w:val="24"/>
          <w:szCs w:val="24"/>
          <w:rtl w:val="0"/>
        </w:rPr>
        <w:t xml:space="preserve">Any questions or queries please contact:</w:t>
      </w:r>
      <w:r w:rsidDel="00000000" w:rsidR="00000000" w:rsidRPr="00000000">
        <w:drawing>
          <wp:anchor allowOverlap="1" behindDoc="0" distB="0" distT="0" distL="114300" distR="114300" hidden="0" layoutInCell="1" locked="0" relativeHeight="0" simplePos="0">
            <wp:simplePos x="0" y="0"/>
            <wp:positionH relativeFrom="column">
              <wp:posOffset>4644428</wp:posOffset>
            </wp:positionH>
            <wp:positionV relativeFrom="paragraph">
              <wp:posOffset>-96947</wp:posOffset>
            </wp:positionV>
            <wp:extent cx="1482374" cy="1250690"/>
            <wp:effectExtent b="0" l="0" r="0" t="0"/>
            <wp:wrapSquare wrapText="bothSides" distB="0" distT="0" distL="114300" distR="114300"/>
            <wp:docPr descr="cid:image001.jpg@01D72482.F8C13900" id="1" name="image1.jpg"/>
            <a:graphic>
              <a:graphicData uri="http://schemas.openxmlformats.org/drawingml/2006/picture">
                <pic:pic>
                  <pic:nvPicPr>
                    <pic:cNvPr descr="cid:image001.jpg@01D72482.F8C13900" id="0" name="image1.jpg"/>
                    <pic:cNvPicPr preferRelativeResize="0"/>
                  </pic:nvPicPr>
                  <pic:blipFill>
                    <a:blip r:embed="rId7"/>
                    <a:srcRect b="0" l="0" r="0" t="0"/>
                    <a:stretch>
                      <a:fillRect/>
                    </a:stretch>
                  </pic:blipFill>
                  <pic:spPr>
                    <a:xfrm>
                      <a:off x="0" y="0"/>
                      <a:ext cx="1482374" cy="1250690"/>
                    </a:xfrm>
                    <a:prstGeom prst="rect"/>
                    <a:ln/>
                  </pic:spPr>
                </pic:pic>
              </a:graphicData>
            </a:graphic>
          </wp:anchor>
        </w:drawing>
      </w:r>
    </w:p>
    <w:p w:rsidR="00000000" w:rsidDel="00000000" w:rsidP="00000000" w:rsidRDefault="00000000" w:rsidRPr="00000000" w14:paraId="0000001E">
      <w:pPr>
        <w:rPr>
          <w:color w:val="000080"/>
          <w:sz w:val="24"/>
          <w:szCs w:val="24"/>
        </w:rPr>
      </w:pPr>
      <w:hyperlink r:id="rId8">
        <w:r w:rsidDel="00000000" w:rsidR="00000000" w:rsidRPr="00000000">
          <w:rPr>
            <w:color w:val="0000ff"/>
            <w:sz w:val="24"/>
            <w:szCs w:val="24"/>
            <w:u w:val="single"/>
            <w:rtl w:val="0"/>
          </w:rPr>
          <w:t xml:space="preserve">Emma.Gordon@blackpool.gov.uk</w:t>
        </w:r>
      </w:hyperlink>
      <w:r w:rsidDel="00000000" w:rsidR="00000000" w:rsidRPr="00000000">
        <w:rPr>
          <w:color w:val="000080"/>
          <w:sz w:val="24"/>
          <w:szCs w:val="24"/>
          <w:rtl w:val="0"/>
        </w:rPr>
        <w:t xml:space="preserve">  – 01253 754840</w:t>
      </w:r>
    </w:p>
    <w:p w:rsidR="00000000" w:rsidDel="00000000" w:rsidP="00000000" w:rsidRDefault="00000000" w:rsidRPr="00000000" w14:paraId="0000001F">
      <w:pPr>
        <w:rPr>
          <w:color w:val="000080"/>
          <w:sz w:val="24"/>
          <w:szCs w:val="24"/>
        </w:rPr>
      </w:pPr>
      <w:hyperlink r:id="rId9">
        <w:r w:rsidDel="00000000" w:rsidR="00000000" w:rsidRPr="00000000">
          <w:rPr>
            <w:color w:val="0000ff"/>
            <w:sz w:val="24"/>
            <w:szCs w:val="24"/>
            <w:u w:val="single"/>
            <w:rtl w:val="0"/>
          </w:rPr>
          <w:t xml:space="preserve">Julie.parkinson@blackpool.gov.uk</w:t>
        </w:r>
      </w:hyperlink>
      <w:r w:rsidDel="00000000" w:rsidR="00000000" w:rsidRPr="00000000">
        <w:rPr>
          <w:color w:val="000080"/>
          <w:sz w:val="24"/>
          <w:szCs w:val="24"/>
          <w:rtl w:val="0"/>
        </w:rPr>
        <w:t xml:space="preserve"> – 01253 754840</w:t>
      </w:r>
    </w:p>
    <w:p w:rsidR="00000000" w:rsidDel="00000000" w:rsidP="00000000" w:rsidRDefault="00000000" w:rsidRPr="00000000" w14:paraId="0000002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e.parkinson@blackpool.gov.uk" TargetMode="External"/><Relationship Id="rId5" Type="http://schemas.openxmlformats.org/officeDocument/2006/relationships/styles" Target="styles.xml"/><Relationship Id="rId6" Type="http://schemas.openxmlformats.org/officeDocument/2006/relationships/hyperlink" Target="http://www.blackpool.gov.uk/familiesrocksupport" TargetMode="External"/><Relationship Id="rId7" Type="http://schemas.openxmlformats.org/officeDocument/2006/relationships/image" Target="media/image1.jpg"/><Relationship Id="rId8" Type="http://schemas.openxmlformats.org/officeDocument/2006/relationships/hyperlink" Target="mailto:Emma.Gordon@blackpool.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