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right"/>
        <w:rPr>
          <w:vertAlign w:val="baseline"/>
        </w:rPr>
      </w:pPr>
      <w:r w:rsidDel="00000000" w:rsidR="00000000" w:rsidRPr="00000000">
        <w:rPr>
          <w:rtl w:val="0"/>
        </w:rPr>
      </w:r>
    </w:p>
    <w:p w:rsidR="00000000" w:rsidDel="00000000" w:rsidP="00000000" w:rsidRDefault="00000000" w:rsidRPr="00000000" w14:paraId="00000002">
      <w:pPr>
        <w:pageBreakBefore w:val="0"/>
        <w:jc w:val="right"/>
        <w:rPr>
          <w:vertAlign w:val="baseline"/>
        </w:rPr>
      </w:pPr>
      <w:r w:rsidDel="00000000" w:rsidR="00000000" w:rsidRPr="00000000">
        <w:rPr>
          <w:rtl w:val="0"/>
        </w:rPr>
      </w:r>
    </w:p>
    <w:p w:rsidR="00000000" w:rsidDel="00000000" w:rsidP="00000000" w:rsidRDefault="00000000" w:rsidRPr="00000000" w14:paraId="00000003">
      <w:pPr>
        <w:pStyle w:val="Heading1"/>
        <w:pageBreakBefore w:val="0"/>
        <w:rPr>
          <w:vertAlign w:val="baseline"/>
        </w:rPr>
      </w:pPr>
      <w:r w:rsidDel="00000000" w:rsidR="00000000" w:rsidRPr="00000000">
        <w:rPr>
          <w:b w:val="1"/>
          <w:vertAlign w:val="baseline"/>
          <w:rtl w:val="0"/>
        </w:rPr>
        <w:t xml:space="preserve">Drug, Alcohol &amp; Tobacco Education</w:t>
      </w:r>
      <w:r w:rsidDel="00000000" w:rsidR="00000000" w:rsidRPr="00000000">
        <w:rPr>
          <w:rtl w:val="0"/>
        </w:rPr>
      </w:r>
    </w:p>
    <w:p w:rsidR="00000000" w:rsidDel="00000000" w:rsidP="00000000" w:rsidRDefault="00000000" w:rsidRPr="00000000" w14:paraId="00000004">
      <w:pPr>
        <w:pageBreakBefore w:val="0"/>
        <w:rPr>
          <w:sz w:val="28"/>
          <w:szCs w:val="28"/>
          <w:vertAlign w:val="baseline"/>
        </w:rPr>
      </w:pPr>
      <w:r w:rsidDel="00000000" w:rsidR="00000000" w:rsidRPr="00000000">
        <w:rPr>
          <w:b w:val="1"/>
          <w:sz w:val="28"/>
          <w:szCs w:val="28"/>
          <w:vertAlign w:val="baseline"/>
          <w:rtl w:val="0"/>
        </w:rPr>
        <w:t xml:space="preserve">Lesson Plan</w:t>
      </w:r>
      <w:r w:rsidDel="00000000" w:rsidR="00000000" w:rsidRPr="00000000">
        <w:rPr>
          <w:rtl w:val="0"/>
        </w:rPr>
      </w:r>
    </w:p>
    <w:p w:rsidR="00000000" w:rsidDel="00000000" w:rsidP="00000000" w:rsidRDefault="00000000" w:rsidRPr="00000000" w14:paraId="00000005">
      <w:pPr>
        <w:pageBreakBefore w:val="0"/>
        <w:rPr>
          <w:sz w:val="28"/>
          <w:szCs w:val="28"/>
          <w:vertAlign w:val="baseline"/>
        </w:rPr>
      </w:pPr>
      <w:r w:rsidDel="00000000" w:rsidR="00000000" w:rsidRPr="00000000">
        <w:rPr>
          <w:rtl w:val="0"/>
        </w:rPr>
      </w:r>
    </w:p>
    <w:tbl>
      <w:tblPr>
        <w:tblStyle w:val="Table1"/>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48"/>
        <w:gridCol w:w="6506"/>
        <w:tblGridChange w:id="0">
          <w:tblGrid>
            <w:gridCol w:w="3348"/>
            <w:gridCol w:w="6506"/>
          </w:tblGrid>
        </w:tblGridChange>
      </w:tblGrid>
      <w:tr>
        <w:trPr>
          <w:cantSplit w:val="0"/>
          <w:tblHeader w:val="0"/>
        </w:trPr>
        <w:tc>
          <w:tcPr>
            <w:vAlign w:val="top"/>
          </w:tcPr>
          <w:p w:rsidR="00000000" w:rsidDel="00000000" w:rsidP="00000000" w:rsidRDefault="00000000" w:rsidRPr="00000000" w14:paraId="00000006">
            <w:pPr>
              <w:pageBreakBefore w:val="0"/>
              <w:rPr>
                <w:vertAlign w:val="baseline"/>
              </w:rPr>
            </w:pPr>
            <w:r w:rsidDel="00000000" w:rsidR="00000000" w:rsidRPr="00000000">
              <w:rPr>
                <w:b w:val="1"/>
                <w:vertAlign w:val="baseline"/>
                <w:rtl w:val="0"/>
              </w:rPr>
              <w:t xml:space="preserve">Year Group:</w:t>
              <w:tab/>
              <w:t xml:space="preserve">Year 2</w:t>
            </w:r>
            <w:r w:rsidDel="00000000" w:rsidR="00000000" w:rsidRPr="00000000">
              <w:rPr>
                <w:rtl w:val="0"/>
              </w:rPr>
            </w:r>
          </w:p>
        </w:tc>
        <w:tc>
          <w:tcPr>
            <w:vAlign w:val="top"/>
          </w:tcPr>
          <w:p w:rsidR="00000000" w:rsidDel="00000000" w:rsidP="00000000" w:rsidRDefault="00000000" w:rsidRPr="00000000" w14:paraId="00000007">
            <w:pPr>
              <w:pageBreakBefore w:val="0"/>
              <w:rPr>
                <w:vertAlign w:val="baseline"/>
              </w:rPr>
            </w:pPr>
            <w:r w:rsidDel="00000000" w:rsidR="00000000" w:rsidRPr="00000000">
              <w:rPr>
                <w:b w:val="1"/>
                <w:vertAlign w:val="baseline"/>
                <w:rtl w:val="0"/>
              </w:rPr>
              <w:t xml:space="preserve">Lesson Number:</w:t>
              <w:tab/>
              <w:t xml:space="preserve">3</w:t>
            </w:r>
            <w:r w:rsidDel="00000000" w:rsidR="00000000" w:rsidRPr="00000000">
              <w:rPr>
                <w:rtl w:val="0"/>
              </w:rPr>
            </w:r>
          </w:p>
          <w:p w:rsidR="00000000" w:rsidDel="00000000" w:rsidP="00000000" w:rsidRDefault="00000000" w:rsidRPr="00000000" w14:paraId="00000008">
            <w:pPr>
              <w:pageBreakBefore w:val="0"/>
              <w:rPr>
                <w:vertAlign w:val="baseline"/>
              </w:rPr>
            </w:pPr>
            <w:r w:rsidDel="00000000" w:rsidR="00000000" w:rsidRPr="00000000">
              <w:rPr>
                <w:b w:val="1"/>
                <w:vertAlign w:val="baseline"/>
                <w:rtl w:val="0"/>
              </w:rPr>
              <w:t xml:space="preserve">Lesson Heading:</w:t>
              <w:tab/>
              <w:t xml:space="preserve">Making Safe Choices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09">
            <w:pPr>
              <w:pageBreakBefore w:val="0"/>
              <w:rPr>
                <w:vertAlign w:val="baseline"/>
              </w:rPr>
            </w:pPr>
            <w:r w:rsidDel="00000000" w:rsidR="00000000" w:rsidRPr="00000000">
              <w:rPr>
                <w:b w:val="1"/>
                <w:vertAlign w:val="baseline"/>
                <w:rtl w:val="0"/>
              </w:rPr>
              <w:t xml:space="preserve">Learning Outcomes:</w:t>
            </w:r>
            <w:r w:rsidDel="00000000" w:rsidR="00000000" w:rsidRPr="00000000">
              <w:rPr>
                <w:rtl w:val="0"/>
              </w:rPr>
            </w:r>
          </w:p>
          <w:p w:rsidR="00000000" w:rsidDel="00000000" w:rsidP="00000000" w:rsidRDefault="00000000" w:rsidRPr="00000000" w14:paraId="0000000A">
            <w:pPr>
              <w:pageBreakBefore w:val="0"/>
              <w:rPr>
                <w:b w:val="0"/>
                <w:vertAlign w:val="baseline"/>
              </w:rPr>
            </w:pPr>
            <w:r w:rsidDel="00000000" w:rsidR="00000000" w:rsidRPr="00000000">
              <w:rPr>
                <w:rtl w:val="0"/>
              </w:rPr>
            </w:r>
          </w:p>
          <w:p w:rsidR="00000000" w:rsidDel="00000000" w:rsidP="00000000" w:rsidRDefault="00000000" w:rsidRPr="00000000" w14:paraId="0000000B">
            <w:pPr>
              <w:pageBreakBefore w:val="0"/>
              <w:rPr>
                <w:b w:val="0"/>
                <w:vertAlign w:val="baseline"/>
              </w:rPr>
            </w:pPr>
            <w:r w:rsidDel="00000000" w:rsidR="00000000" w:rsidRPr="00000000">
              <w:rPr>
                <w:b w:val="0"/>
                <w:vertAlign w:val="baseline"/>
                <w:rtl w:val="0"/>
              </w:rPr>
              <w:t xml:space="preserve">Children:</w:t>
            </w:r>
          </w:p>
          <w:p w:rsidR="00000000" w:rsidDel="00000000" w:rsidP="00000000" w:rsidRDefault="00000000" w:rsidRPr="00000000" w14:paraId="0000000C">
            <w:pPr>
              <w:pageBreakBefore w:val="0"/>
              <w:numPr>
                <w:ilvl w:val="0"/>
                <w:numId w:val="2"/>
              </w:numPr>
              <w:ind w:left="360" w:hanging="360"/>
              <w:rPr>
                <w:b w:val="0"/>
                <w:vertAlign w:val="baseline"/>
              </w:rPr>
            </w:pPr>
            <w:r w:rsidDel="00000000" w:rsidR="00000000" w:rsidRPr="00000000">
              <w:rPr>
                <w:b w:val="0"/>
                <w:vertAlign w:val="baseline"/>
                <w:rtl w:val="0"/>
              </w:rPr>
              <w:t xml:space="preserve">Recognise name and deal with feelings in a positive way.</w:t>
            </w:r>
          </w:p>
          <w:p w:rsidR="00000000" w:rsidDel="00000000" w:rsidP="00000000" w:rsidRDefault="00000000" w:rsidRPr="00000000" w14:paraId="0000000D">
            <w:pPr>
              <w:pageBreakBefore w:val="0"/>
              <w:numPr>
                <w:ilvl w:val="0"/>
                <w:numId w:val="2"/>
              </w:numPr>
              <w:ind w:left="360" w:hanging="360"/>
              <w:rPr>
                <w:b w:val="0"/>
                <w:vertAlign w:val="baseline"/>
              </w:rPr>
            </w:pPr>
            <w:r w:rsidDel="00000000" w:rsidR="00000000" w:rsidRPr="00000000">
              <w:rPr>
                <w:b w:val="0"/>
                <w:vertAlign w:val="baseline"/>
                <w:rtl w:val="0"/>
              </w:rPr>
              <w:t xml:space="preserve">Learn and practice when and how to say ‘No, I won’t’, ‘I’ll ask’, ‘It’s OK’.</w:t>
            </w:r>
          </w:p>
          <w:p w:rsidR="00000000" w:rsidDel="00000000" w:rsidP="00000000" w:rsidRDefault="00000000" w:rsidRPr="00000000" w14:paraId="0000000E">
            <w:pPr>
              <w:pageBreakBefore w:val="0"/>
              <w:numPr>
                <w:ilvl w:val="0"/>
                <w:numId w:val="2"/>
              </w:numPr>
              <w:ind w:left="360" w:hanging="360"/>
              <w:rPr>
                <w:b w:val="0"/>
                <w:vertAlign w:val="baseline"/>
              </w:rPr>
            </w:pPr>
            <w:r w:rsidDel="00000000" w:rsidR="00000000" w:rsidRPr="00000000">
              <w:rPr>
                <w:b w:val="0"/>
                <w:vertAlign w:val="baseline"/>
                <w:rtl w:val="0"/>
              </w:rPr>
              <w:t xml:space="preserve">Identify safe adults that they can talk to. </w:t>
            </w:r>
          </w:p>
          <w:p w:rsidR="00000000" w:rsidDel="00000000" w:rsidP="00000000" w:rsidRDefault="00000000" w:rsidRPr="00000000" w14:paraId="0000000F">
            <w:pPr>
              <w:pageBreakBefore w:val="0"/>
              <w:rPr>
                <w:b w:val="0"/>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11">
            <w:pPr>
              <w:pageBreakBefore w:val="0"/>
              <w:rPr>
                <w:vertAlign w:val="baseline"/>
              </w:rPr>
            </w:pPr>
            <w:r w:rsidDel="00000000" w:rsidR="00000000" w:rsidRPr="00000000">
              <w:rPr>
                <w:b w:val="1"/>
                <w:vertAlign w:val="baseline"/>
                <w:rtl w:val="0"/>
              </w:rPr>
              <w:t xml:space="preserve">Links:</w:t>
            </w:r>
            <w:r w:rsidDel="00000000" w:rsidR="00000000" w:rsidRPr="00000000">
              <w:rPr>
                <w:rtl w:val="0"/>
              </w:rPr>
            </w:r>
          </w:p>
          <w:p w:rsidR="00000000" w:rsidDel="00000000" w:rsidP="00000000" w:rsidRDefault="00000000" w:rsidRPr="00000000" w14:paraId="00000012">
            <w:pPr>
              <w:pageBreakBefore w:val="0"/>
              <w:rPr>
                <w:b w:val="0"/>
                <w:vertAlign w:val="baseline"/>
              </w:rPr>
            </w:pPr>
            <w:r w:rsidDel="00000000" w:rsidR="00000000" w:rsidRPr="00000000">
              <w:rPr>
                <w:rtl w:val="0"/>
              </w:rPr>
            </w:r>
          </w:p>
          <w:p w:rsidR="00000000" w:rsidDel="00000000" w:rsidP="00000000" w:rsidRDefault="00000000" w:rsidRPr="00000000" w14:paraId="00000013">
            <w:pPr>
              <w:pageBreakBefore w:val="0"/>
              <w:rPr>
                <w:b w:val="0"/>
                <w:vertAlign w:val="baseline"/>
              </w:rPr>
            </w:pPr>
            <w:r w:rsidDel="00000000" w:rsidR="00000000" w:rsidRPr="00000000">
              <w:rPr>
                <w:b w:val="0"/>
                <w:vertAlign w:val="baseline"/>
                <w:rtl w:val="0"/>
              </w:rPr>
              <w:t xml:space="preserve">This lesson contributes towards:</w:t>
            </w:r>
          </w:p>
          <w:p w:rsidR="00000000" w:rsidDel="00000000" w:rsidP="00000000" w:rsidRDefault="00000000" w:rsidRPr="00000000" w14:paraId="00000014">
            <w:pPr>
              <w:pageBreakBefore w:val="0"/>
              <w:rPr>
                <w:b w:val="0"/>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16">
            <w:pPr>
              <w:pageBreakBefore w:val="0"/>
              <w:rPr>
                <w:vertAlign w:val="baseline"/>
              </w:rPr>
            </w:pPr>
            <w:r w:rsidDel="00000000" w:rsidR="00000000" w:rsidRPr="00000000">
              <w:rPr>
                <w:b w:val="1"/>
                <w:vertAlign w:val="baseline"/>
                <w:rtl w:val="0"/>
              </w:rPr>
              <w:t xml:space="preserve">Resources Required for Lesson:</w:t>
            </w:r>
            <w:r w:rsidDel="00000000" w:rsidR="00000000" w:rsidRPr="00000000">
              <w:rPr>
                <w:rtl w:val="0"/>
              </w:rPr>
            </w:r>
          </w:p>
          <w:p w:rsidR="00000000" w:rsidDel="00000000" w:rsidP="00000000" w:rsidRDefault="00000000" w:rsidRPr="00000000" w14:paraId="00000017">
            <w:pPr>
              <w:pageBreakBefore w:val="0"/>
              <w:rPr>
                <w:b w:val="0"/>
                <w:vertAlign w:val="baseline"/>
              </w:rPr>
            </w:pPr>
            <w:r w:rsidDel="00000000" w:rsidR="00000000" w:rsidRPr="00000000">
              <w:rPr>
                <w:rtl w:val="0"/>
              </w:rPr>
            </w:r>
          </w:p>
          <w:p w:rsidR="00000000" w:rsidDel="00000000" w:rsidP="00000000" w:rsidRDefault="00000000" w:rsidRPr="00000000" w14:paraId="00000018">
            <w:pPr>
              <w:pageBreakBefore w:val="0"/>
              <w:rPr>
                <w:b w:val="0"/>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1A">
            <w:pPr>
              <w:pageBreakBefore w:val="0"/>
              <w:rPr>
                <w:vertAlign w:val="baseline"/>
              </w:rPr>
            </w:pPr>
            <w:r w:rsidDel="00000000" w:rsidR="00000000" w:rsidRPr="00000000">
              <w:rPr>
                <w:b w:val="1"/>
                <w:vertAlign w:val="baseline"/>
                <w:rtl w:val="0"/>
              </w:rPr>
              <w:t xml:space="preserve">Beginning:</w:t>
            </w:r>
            <w:r w:rsidDel="00000000" w:rsidR="00000000" w:rsidRPr="00000000">
              <w:rPr>
                <w:rtl w:val="0"/>
              </w:rPr>
            </w:r>
          </w:p>
          <w:p w:rsidR="00000000" w:rsidDel="00000000" w:rsidP="00000000" w:rsidRDefault="00000000" w:rsidRPr="00000000" w14:paraId="0000001B">
            <w:pPr>
              <w:pageBreakBefore w:val="0"/>
              <w:rPr>
                <w:b w:val="0"/>
                <w:vertAlign w:val="baseline"/>
              </w:rPr>
            </w:pPr>
            <w:r w:rsidDel="00000000" w:rsidR="00000000" w:rsidRPr="00000000">
              <w:rPr>
                <w:rtl w:val="0"/>
              </w:rPr>
            </w:r>
          </w:p>
          <w:p w:rsidR="00000000" w:rsidDel="00000000" w:rsidP="00000000" w:rsidRDefault="00000000" w:rsidRPr="00000000" w14:paraId="0000001C">
            <w:pPr>
              <w:pageBreakBefore w:val="0"/>
              <w:rPr>
                <w:b w:val="0"/>
                <w:vertAlign w:val="baseline"/>
              </w:rPr>
            </w:pPr>
            <w:r w:rsidDel="00000000" w:rsidR="00000000" w:rsidRPr="00000000">
              <w:rPr>
                <w:b w:val="0"/>
                <w:vertAlign w:val="baseline"/>
                <w:rtl w:val="0"/>
              </w:rPr>
              <w:t xml:space="preserve">□</w:t>
              <w:tab/>
              <w:t xml:space="preserve">Refer to ground rules and  rewards</w:t>
            </w:r>
          </w:p>
          <w:p w:rsidR="00000000" w:rsidDel="00000000" w:rsidP="00000000" w:rsidRDefault="00000000" w:rsidRPr="00000000" w14:paraId="0000001D">
            <w:pPr>
              <w:pageBreakBefore w:val="0"/>
              <w:rP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1F">
            <w:pPr>
              <w:pageBreakBefore w:val="0"/>
              <w:rPr>
                <w:vertAlign w:val="baseline"/>
              </w:rPr>
            </w:pPr>
            <w:r w:rsidDel="00000000" w:rsidR="00000000" w:rsidRPr="00000000">
              <w:rPr>
                <w:b w:val="1"/>
                <w:vertAlign w:val="baseline"/>
                <w:rtl w:val="0"/>
              </w:rPr>
              <w:t xml:space="preserve">Main Activities:</w:t>
            </w:r>
            <w:r w:rsidDel="00000000" w:rsidR="00000000" w:rsidRPr="00000000">
              <w:rPr>
                <w:rtl w:val="0"/>
              </w:rPr>
            </w:r>
          </w:p>
          <w:p w:rsidR="00000000" w:rsidDel="00000000" w:rsidP="00000000" w:rsidRDefault="00000000" w:rsidRPr="00000000" w14:paraId="00000020">
            <w:pPr>
              <w:pageBreakBefore w:val="0"/>
              <w:rPr>
                <w:vertAlign w:val="baseline"/>
              </w:rPr>
            </w:pPr>
            <w:r w:rsidDel="00000000" w:rsidR="00000000" w:rsidRPr="00000000">
              <w:rPr>
                <w:b w:val="1"/>
                <w:vertAlign w:val="baseline"/>
                <w:rtl w:val="0"/>
              </w:rPr>
              <w:t xml:space="preserve">Group Role Play Activity:</w:t>
            </w:r>
            <w:r w:rsidDel="00000000" w:rsidR="00000000" w:rsidRPr="00000000">
              <w:rPr>
                <w:rtl w:val="0"/>
              </w:rPr>
            </w:r>
          </w:p>
          <w:p w:rsidR="00000000" w:rsidDel="00000000" w:rsidP="00000000" w:rsidRDefault="00000000" w:rsidRPr="00000000" w14:paraId="00000021">
            <w:pPr>
              <w:pageBreakBefore w:val="0"/>
              <w:rP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Remind the children of the importance of rules for keeping safe and how we play the most important role in keeping ourselves safe and healthy.</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Develop the following scenarios for pupils to role play in how they would cope if someone tried to persuade them to do something they didn’t want to:</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Scenario One:</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Your are going out on a day trip with a friend and their family and your parent/carer is trying to persuade you to take fruit for your picnic instead of sweet and crisps.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Scenario Two:</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You are playing out in the garden with a friend when they try to persuade you to cross the road and go to the park to play.  They tell you “Your mum won’t mind”.</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Invite the children to talk about:</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What would you do/say?</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What would the persuader do/say?</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How would you feel – worried, scared, excited?</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Who would you tell/ask?</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Differences between someone persuading you to do something good and something that could be dangerous or wrong.</w:t>
            </w:r>
          </w:p>
          <w:p w:rsidR="00000000" w:rsidDel="00000000" w:rsidP="00000000" w:rsidRDefault="00000000" w:rsidRPr="00000000" w14:paraId="00000034">
            <w:pPr>
              <w:pageBreakBefore w:val="0"/>
              <w:rPr>
                <w:vertAlign w:val="baseline"/>
              </w:rPr>
            </w:pPr>
            <w:r w:rsidDel="00000000" w:rsidR="00000000" w:rsidRPr="00000000">
              <w:rPr>
                <w:rtl w:val="0"/>
              </w:rPr>
            </w:r>
          </w:p>
          <w:p w:rsidR="00000000" w:rsidDel="00000000" w:rsidP="00000000" w:rsidRDefault="00000000" w:rsidRPr="00000000" w14:paraId="00000035">
            <w:pPr>
              <w:pageBreakBefore w:val="0"/>
              <w:rPr>
                <w:vertAlign w:val="baseline"/>
              </w:rPr>
            </w:pPr>
            <w:r w:rsidDel="00000000" w:rsidR="00000000" w:rsidRPr="00000000">
              <w:rPr>
                <w:b w:val="1"/>
                <w:vertAlign w:val="baseline"/>
                <w:rtl w:val="0"/>
              </w:rPr>
              <w:t xml:space="preserve">Persuaders and Drugs</w:t>
            </w:r>
            <w:r w:rsidDel="00000000" w:rsidR="00000000" w:rsidRPr="00000000">
              <w:rPr>
                <w:rtl w:val="0"/>
              </w:rPr>
            </w:r>
          </w:p>
          <w:p w:rsidR="00000000" w:rsidDel="00000000" w:rsidP="00000000" w:rsidRDefault="00000000" w:rsidRPr="00000000" w14:paraId="00000036">
            <w:pPr>
              <w:pageBreakBefore w:val="0"/>
              <w:rPr>
                <w:vertAlign w:val="baseline"/>
              </w:rPr>
            </w:pPr>
            <w:r w:rsidDel="00000000" w:rsidR="00000000" w:rsidRPr="00000000">
              <w:rPr>
                <w:b w:val="1"/>
                <w:vertAlign w:val="baseline"/>
                <w:rtl w:val="0"/>
              </w:rPr>
              <w:t xml:space="preserve">Individual Draw/Write Activity:</w:t>
            </w:r>
            <w:r w:rsidDel="00000000" w:rsidR="00000000" w:rsidRPr="00000000">
              <w:rPr>
                <w:rtl w:val="0"/>
              </w:rPr>
            </w:r>
          </w:p>
          <w:p w:rsidR="00000000" w:rsidDel="00000000" w:rsidP="00000000" w:rsidRDefault="00000000" w:rsidRPr="00000000" w14:paraId="00000037">
            <w:pPr>
              <w:pageBreakBefore w:val="0"/>
              <w:rPr>
                <w:vertAlign w:val="baseline"/>
              </w:rPr>
            </w:pPr>
            <w:r w:rsidDel="00000000" w:rsidR="00000000" w:rsidRPr="00000000">
              <w:rPr>
                <w:rtl w:val="0"/>
              </w:rPr>
            </w:r>
          </w:p>
          <w:p w:rsidR="00000000" w:rsidDel="00000000" w:rsidP="00000000" w:rsidRDefault="00000000" w:rsidRPr="00000000" w14:paraId="00000038">
            <w:pPr>
              <w:pageBreakBefore w:val="0"/>
              <w:rPr>
                <w:b w:val="0"/>
                <w:vertAlign w:val="baseline"/>
              </w:rPr>
            </w:pPr>
            <w:r w:rsidDel="00000000" w:rsidR="00000000" w:rsidRPr="00000000">
              <w:rPr>
                <w:b w:val="0"/>
                <w:vertAlign w:val="baseline"/>
                <w:rtl w:val="0"/>
              </w:rPr>
              <w:t xml:space="preserve">Ask the children to think about people who might try to persuade them to try ( taste, sniff or puff) strange substances.  Who are these people?  Ask the children to illustrate and talk about people who might try to persuade them.  Look at the children’s pictures for stereotyping of strangers or dangerous people.</w:t>
            </w:r>
          </w:p>
          <w:p w:rsidR="00000000" w:rsidDel="00000000" w:rsidP="00000000" w:rsidRDefault="00000000" w:rsidRPr="00000000" w14:paraId="00000039">
            <w:pPr>
              <w:pageBreakBefore w:val="0"/>
              <w:rPr>
                <w:b w:val="0"/>
                <w:vertAlign w:val="baseline"/>
              </w:rPr>
            </w:pPr>
            <w:r w:rsidDel="00000000" w:rsidR="00000000" w:rsidRPr="00000000">
              <w:rPr>
                <w:rtl w:val="0"/>
              </w:rPr>
            </w:r>
          </w:p>
          <w:p w:rsidR="00000000" w:rsidDel="00000000" w:rsidP="00000000" w:rsidRDefault="00000000" w:rsidRPr="00000000" w14:paraId="0000003A">
            <w:pPr>
              <w:pageBreakBefore w:val="0"/>
              <w:rPr>
                <w:b w:val="0"/>
                <w:vertAlign w:val="baseline"/>
              </w:rPr>
            </w:pPr>
            <w:r w:rsidDel="00000000" w:rsidR="00000000" w:rsidRPr="00000000">
              <w:rPr>
                <w:b w:val="0"/>
                <w:vertAlign w:val="baseline"/>
                <w:rtl w:val="0"/>
              </w:rPr>
              <w:t xml:space="preserve">Encourage the children to think about what such people might </w:t>
            </w:r>
            <w:r w:rsidDel="00000000" w:rsidR="00000000" w:rsidRPr="00000000">
              <w:rPr>
                <w:b w:val="0"/>
                <w:i w:val="1"/>
                <w:vertAlign w:val="baseline"/>
                <w:rtl w:val="0"/>
              </w:rPr>
              <w:t xml:space="preserve">say</w:t>
            </w:r>
            <w:r w:rsidDel="00000000" w:rsidR="00000000" w:rsidRPr="00000000">
              <w:rPr>
                <w:b w:val="0"/>
                <w:vertAlign w:val="baseline"/>
                <w:rtl w:val="0"/>
              </w:rPr>
              <w:t xml:space="preserve"> rather than what they look like.  Write in speech bubbles what the children think these people might say (for example: ‘They are only like sweets’ or ‘It won’t hurt’) and how they themselves might answer them (for example: ‘It’s dangerous’ or ‘No, I won’t’ or ‘I’ll ask my mum if it’s OK’).  Help them to practice listening to persuasion and them making confident refusals.  You can also help them to practice telling an adult that they are being persuaded to take something.  This is an important coping strategy.</w:t>
            </w:r>
          </w:p>
          <w:p w:rsidR="00000000" w:rsidDel="00000000" w:rsidP="00000000" w:rsidRDefault="00000000" w:rsidRPr="00000000" w14:paraId="0000003B">
            <w:pPr>
              <w:pageBreakBefore w:val="0"/>
              <w:rPr>
                <w:b w:val="0"/>
                <w:vertAlign w:val="baseline"/>
              </w:rPr>
            </w:pPr>
            <w:r w:rsidDel="00000000" w:rsidR="00000000" w:rsidRPr="00000000">
              <w:rPr>
                <w:rtl w:val="0"/>
              </w:rPr>
            </w:r>
          </w:p>
          <w:p w:rsidR="00000000" w:rsidDel="00000000" w:rsidP="00000000" w:rsidRDefault="00000000" w:rsidRPr="00000000" w14:paraId="0000003C">
            <w:pPr>
              <w:pageBreakBefore w:val="0"/>
              <w:rPr>
                <w:b w:val="0"/>
                <w:vertAlign w:val="baseline"/>
              </w:rPr>
            </w:pPr>
            <w:r w:rsidDel="00000000" w:rsidR="00000000" w:rsidRPr="00000000">
              <w:rPr>
                <w:b w:val="0"/>
                <w:vertAlign w:val="baseline"/>
                <w:rtl w:val="0"/>
              </w:rPr>
              <w:t xml:space="preserve">Talk with the children about the people who they feel they can trust.  Invite them to illustrate and label these people.  Explore, where possible, individual children’s choices and reason for trust.</w:t>
            </w:r>
          </w:p>
          <w:p w:rsidR="00000000" w:rsidDel="00000000" w:rsidP="00000000" w:rsidRDefault="00000000" w:rsidRPr="00000000" w14:paraId="0000003D">
            <w:pPr>
              <w:pageBreakBefore w:val="0"/>
              <w:rPr>
                <w:b w:val="0"/>
                <w:vertAlign w:val="baseline"/>
              </w:rPr>
            </w:pPr>
            <w:r w:rsidDel="00000000" w:rsidR="00000000" w:rsidRPr="00000000">
              <w:rPr>
                <w:rtl w:val="0"/>
              </w:rPr>
            </w:r>
          </w:p>
        </w:tc>
      </w:tr>
    </w:tbl>
    <w:p w:rsidR="00000000" w:rsidDel="00000000" w:rsidP="00000000" w:rsidRDefault="00000000" w:rsidRPr="00000000" w14:paraId="0000003F">
      <w:pPr>
        <w:pageBreakBefore w:val="0"/>
        <w:rPr>
          <w:vertAlign w:val="baseline"/>
        </w:rPr>
      </w:pPr>
      <w:r w:rsidDel="00000000" w:rsidR="00000000" w:rsidRPr="00000000">
        <w:rPr>
          <w:rtl w:val="0"/>
        </w:rPr>
      </w:r>
    </w:p>
    <w:sectPr>
      <w:pgSz w:h="16838" w:w="11906" w:orient="portrait"/>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Noto Sans Symbols">
    <w:embedRegular w:fontKey="{00000000-0000-0000-0000-000000000000}" r:id="rId1" w:subsetted="0"/>
    <w:embedBold w:fontKey="{00000000-0000-0000-0000-000000000000}" r:id="rId2" w:subsetted="0"/>
  </w:font>
  <w:font w:name="Gill San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ill Sans" w:cs="Gill Sans" w:eastAsia="Gill Sans" w:hAnsi="Gill Sans"/>
        <w:b w:val="1"/>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rFonts w:ascii="Gill Sans" w:cs="Gill Sans" w:eastAsia="Gill Sans" w:hAnsi="Gill Sans"/>
      <w:b w:val="1"/>
      <w:sz w:val="28"/>
      <w:szCs w:val="28"/>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GillSans-regular.ttf"/><Relationship Id="rId4"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