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32"/>
          <w:szCs w:val="3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single"/>
          <w:shd w:fill="auto" w:val="clear"/>
          <w:vertAlign w:val="baseline"/>
          <w:rtl w:val="0"/>
        </w:rPr>
        <w:t xml:space="preserve">The SPOC offer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expectations of the SPOC:</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will visit their allocated school on a monthly basis.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will share contact details with the school so that they are available for any advice or support where necessary.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will speak with DSL’s around: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Any concerns around exploitation/missing’s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Offer support re any concerns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Request information re any trends/current issues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Offer any guidance or advice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Offer signposting as and when required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Discuss mapping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&gt;            Discuss any areas of concern within the community that school are aware of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will offer advisory support to staff – dependant on individual school requirements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Maintain an Awaken presence in school – dropping off any leaflets, posters, attending staff meetings in school when the school request the AWAKEN worker to, providing intel forms and education around how to complete these forms and who to send them to, be involved in sessions alongside educational staff to promote awareness around exploitation.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can link in with PCSO’s and Link Workers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can support the DSL in providing group sessions to young people within school however this will need to be consent based and primarily led by school.</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can work closely with the DSL in any individual case and provide resources to the DSL. The AWAKEN worker will not complete any one to one sessions with young people in school.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AWAKEN worker will report back to their manager with any concerns raised from any discussions they have with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