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928"/>
        <w:gridCol w:w="4509"/>
        <w:tblGridChange w:id="0">
          <w:tblGrid>
            <w:gridCol w:w="4928"/>
            <w:gridCol w:w="4509"/>
          </w:tblGrid>
        </w:tblGridChange>
      </w:tblGrid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Supporting Material: Possible signs of consent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verbal signs of consent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4246185</wp:posOffset>
                  </wp:positionH>
                  <wp:positionV relativeFrom="paragraph">
                    <wp:posOffset>-578053</wp:posOffset>
                  </wp:positionV>
                  <wp:extent cx="1294130" cy="704850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verbal signs of non-consent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I'm sure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I'm excited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want to...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want to do this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feel good about this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I'm ready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is the right thing to do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I'm not sure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Stop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don't want to do that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you please not do that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thought I wanted to, but...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don’t want to do this right now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I'm not ready or not sure if I'm ready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don't want to do this anymore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is the wrong thing to do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non-verbal signs of consent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non-verbal signs of non-consent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 eye contact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Nodding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Looking comfortable and relaxed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Laughter and/or smiling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"Open" body language, (e.g. relaxed, loose and open arms and legs, relaxed facial expressions, turning towards someone)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Actively taking part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Avoiding eye contact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Pushing someone away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Avoiding touch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Shaking head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Looking uncomfortable, tense, sad or fearful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"Closed" body language, like tense, stiff or closed arms and legs, turning away from someone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actively taking part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